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A4" w:rsidRPr="000B4201" w:rsidRDefault="00C933D9" w:rsidP="00C933D9">
      <w:pPr>
        <w:spacing w:after="0"/>
        <w:rPr>
          <w:b/>
          <w:sz w:val="32"/>
        </w:rPr>
      </w:pPr>
      <w:r w:rsidRPr="000B4201">
        <w:rPr>
          <w:b/>
          <w:sz w:val="32"/>
        </w:rPr>
        <w:t xml:space="preserve">Výsledky ankety Spokojenost se službami knihovny </w:t>
      </w:r>
    </w:p>
    <w:p w:rsidR="00C933D9" w:rsidRDefault="00A45721" w:rsidP="00C933D9">
      <w:pPr>
        <w:spacing w:after="0"/>
        <w:rPr>
          <w:b/>
          <w:sz w:val="28"/>
        </w:rPr>
      </w:pPr>
      <w:r>
        <w:rPr>
          <w:b/>
          <w:sz w:val="28"/>
        </w:rPr>
        <w:t>Loučka</w:t>
      </w:r>
    </w:p>
    <w:p w:rsidR="002E4922" w:rsidRDefault="002E4922" w:rsidP="00C933D9">
      <w:pPr>
        <w:spacing w:after="0"/>
        <w:rPr>
          <w:b/>
          <w:sz w:val="24"/>
        </w:rPr>
      </w:pPr>
    </w:p>
    <w:p w:rsidR="00C933D9" w:rsidRDefault="00C933D9" w:rsidP="00C933D9">
      <w:pPr>
        <w:spacing w:after="0"/>
        <w:rPr>
          <w:b/>
          <w:sz w:val="24"/>
        </w:rPr>
      </w:pPr>
      <w:r>
        <w:rPr>
          <w:b/>
          <w:sz w:val="24"/>
        </w:rPr>
        <w:t>Standard</w:t>
      </w:r>
      <w:r w:rsidR="009E0754">
        <w:rPr>
          <w:rStyle w:val="Znakapoznpodarou"/>
          <w:b/>
          <w:sz w:val="24"/>
        </w:rPr>
        <w:footnoteReference w:id="1"/>
      </w:r>
      <w:r>
        <w:rPr>
          <w:b/>
          <w:sz w:val="24"/>
        </w:rPr>
        <w:t xml:space="preserve">: </w:t>
      </w:r>
      <w:r w:rsidRPr="00140561">
        <w:rPr>
          <w:sz w:val="24"/>
        </w:rPr>
        <w:t>SPLNĚN</w:t>
      </w:r>
      <w:r w:rsidR="009E0754">
        <w:rPr>
          <w:sz w:val="24"/>
        </w:rPr>
        <w:t xml:space="preserve"> (</w:t>
      </w:r>
      <w:r w:rsidR="00A45721">
        <w:rPr>
          <w:sz w:val="24"/>
        </w:rPr>
        <w:t>100</w:t>
      </w:r>
      <w:r w:rsidR="00F444CC">
        <w:rPr>
          <w:sz w:val="24"/>
        </w:rPr>
        <w:t xml:space="preserve"> </w:t>
      </w:r>
      <w:r w:rsidR="009E0754">
        <w:rPr>
          <w:sz w:val="24"/>
        </w:rPr>
        <w:t>%)</w:t>
      </w:r>
    </w:p>
    <w:p w:rsidR="00C933D9" w:rsidRDefault="00C933D9" w:rsidP="00C933D9">
      <w:pPr>
        <w:spacing w:after="0"/>
        <w:rPr>
          <w:b/>
          <w:sz w:val="24"/>
        </w:rPr>
      </w:pPr>
    </w:p>
    <w:p w:rsidR="00C933D9" w:rsidRDefault="00C933D9" w:rsidP="00C933D9">
      <w:pPr>
        <w:spacing w:after="0"/>
        <w:rPr>
          <w:b/>
          <w:sz w:val="24"/>
        </w:rPr>
      </w:pPr>
      <w:r>
        <w:rPr>
          <w:b/>
          <w:sz w:val="24"/>
        </w:rPr>
        <w:t xml:space="preserve">Celkem odpovědí: </w:t>
      </w:r>
      <w:r w:rsidR="00A45721">
        <w:rPr>
          <w:sz w:val="24"/>
        </w:rPr>
        <w:t>23</w:t>
      </w:r>
    </w:p>
    <w:p w:rsidR="00C933D9" w:rsidRPr="00C933D9" w:rsidRDefault="00C933D9" w:rsidP="00C933D9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C933D9">
        <w:rPr>
          <w:b/>
          <w:sz w:val="24"/>
        </w:rPr>
        <w:t>z toho do 15 let</w:t>
      </w:r>
      <w:r w:rsidRPr="00916139">
        <w:rPr>
          <w:sz w:val="24"/>
        </w:rPr>
        <w:t xml:space="preserve">: </w:t>
      </w:r>
      <w:r w:rsidR="00037B5C">
        <w:rPr>
          <w:sz w:val="24"/>
        </w:rPr>
        <w:t>5</w:t>
      </w:r>
    </w:p>
    <w:p w:rsidR="00C933D9" w:rsidRPr="00C933D9" w:rsidRDefault="008B665D" w:rsidP="00C933D9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z toho 15 a více let</w:t>
      </w:r>
      <w:r w:rsidR="00C933D9" w:rsidRPr="00916139">
        <w:rPr>
          <w:sz w:val="24"/>
        </w:rPr>
        <w:t xml:space="preserve">: </w:t>
      </w:r>
      <w:r w:rsidR="00037B5C">
        <w:rPr>
          <w:sz w:val="24"/>
        </w:rPr>
        <w:t>18</w:t>
      </w:r>
    </w:p>
    <w:p w:rsidR="00C933D9" w:rsidRDefault="00C933D9" w:rsidP="00C933D9">
      <w:pPr>
        <w:spacing w:after="0"/>
        <w:rPr>
          <w:b/>
          <w:sz w:val="24"/>
        </w:rPr>
      </w:pPr>
    </w:p>
    <w:p w:rsidR="00CC4648" w:rsidRPr="00CC4648" w:rsidRDefault="00CC4648" w:rsidP="00CC4648">
      <w:pPr>
        <w:spacing w:after="0"/>
        <w:rPr>
          <w:b/>
          <w:sz w:val="24"/>
        </w:rPr>
      </w:pPr>
      <w:r w:rsidRPr="00CC4648">
        <w:rPr>
          <w:b/>
          <w:sz w:val="24"/>
        </w:rPr>
        <w:t xml:space="preserve">Jak vám vyhovuje otevírací doba knihovny? </w:t>
      </w:r>
    </w:p>
    <w:p w:rsidR="00CC4648" w:rsidRDefault="00CC4648" w:rsidP="00C933D9">
      <w:pPr>
        <w:spacing w:after="0"/>
        <w:rPr>
          <w:b/>
          <w:sz w:val="24"/>
        </w:rPr>
      </w:pPr>
    </w:p>
    <w:p w:rsidR="00CC4648" w:rsidRDefault="00037B5C" w:rsidP="00C933D9">
      <w:pPr>
        <w:spacing w:after="0"/>
        <w:jc w:val="center"/>
        <w:rPr>
          <w:b/>
          <w:sz w:val="24"/>
        </w:rPr>
      </w:pPr>
      <w:r w:rsidRPr="00037B5C">
        <w:rPr>
          <w:b/>
          <w:noProof/>
          <w:sz w:val="24"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6EC3" w:rsidRDefault="009D6EC3" w:rsidP="00CC4648">
      <w:pPr>
        <w:spacing w:after="0"/>
        <w:rPr>
          <w:b/>
          <w:sz w:val="24"/>
        </w:rPr>
      </w:pPr>
    </w:p>
    <w:p w:rsidR="00CC4648" w:rsidRDefault="00CC4648" w:rsidP="00CC4648">
      <w:pPr>
        <w:spacing w:after="0"/>
        <w:rPr>
          <w:b/>
          <w:sz w:val="24"/>
        </w:rPr>
      </w:pPr>
      <w:r w:rsidRPr="00CC4648">
        <w:rPr>
          <w:b/>
          <w:sz w:val="24"/>
        </w:rPr>
        <w:t>Jste spokojen/a s výběrem knih v knihovně?</w:t>
      </w:r>
    </w:p>
    <w:p w:rsidR="00CC4648" w:rsidRPr="00CC4648" w:rsidRDefault="00037B5C" w:rsidP="00CC4648">
      <w:pPr>
        <w:spacing w:after="0"/>
        <w:jc w:val="center"/>
        <w:rPr>
          <w:b/>
          <w:sz w:val="24"/>
        </w:rPr>
      </w:pPr>
      <w:r w:rsidRPr="00037B5C">
        <w:rPr>
          <w:b/>
          <w:noProof/>
          <w:sz w:val="24"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4648" w:rsidRDefault="00CC4648" w:rsidP="00CC4648">
      <w:pPr>
        <w:spacing w:after="0"/>
        <w:rPr>
          <w:b/>
          <w:sz w:val="24"/>
        </w:rPr>
      </w:pPr>
      <w:r w:rsidRPr="00CC4648">
        <w:rPr>
          <w:b/>
          <w:sz w:val="24"/>
        </w:rPr>
        <w:lastRenderedPageBreak/>
        <w:t>Najdete na internetových stránkách knihovny bez problémů vždy to, co hledáte?</w:t>
      </w:r>
    </w:p>
    <w:p w:rsidR="00CC4648" w:rsidRDefault="00CC4648" w:rsidP="00CC4648">
      <w:pPr>
        <w:spacing w:after="0"/>
        <w:rPr>
          <w:b/>
          <w:sz w:val="24"/>
        </w:rPr>
      </w:pPr>
    </w:p>
    <w:p w:rsidR="00CC4648" w:rsidRDefault="00037B5C" w:rsidP="00CC4648">
      <w:pPr>
        <w:spacing w:after="0"/>
        <w:jc w:val="center"/>
        <w:rPr>
          <w:b/>
          <w:sz w:val="24"/>
        </w:rPr>
      </w:pPr>
      <w:r w:rsidRPr="00037B5C">
        <w:rPr>
          <w:b/>
          <w:noProof/>
          <w:sz w:val="24"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4648" w:rsidRDefault="00CC4648" w:rsidP="00CC4648">
      <w:pPr>
        <w:spacing w:after="0"/>
        <w:rPr>
          <w:b/>
          <w:sz w:val="24"/>
        </w:rPr>
      </w:pPr>
    </w:p>
    <w:p w:rsidR="00CC4648" w:rsidRDefault="00CC4648" w:rsidP="00CC4648">
      <w:pPr>
        <w:spacing w:after="0"/>
        <w:rPr>
          <w:b/>
          <w:sz w:val="24"/>
        </w:rPr>
      </w:pPr>
    </w:p>
    <w:p w:rsidR="00CC4648" w:rsidRDefault="00CC4648" w:rsidP="00CC4648">
      <w:pPr>
        <w:spacing w:after="0"/>
        <w:rPr>
          <w:b/>
          <w:sz w:val="24"/>
        </w:rPr>
      </w:pPr>
      <w:r w:rsidRPr="00CC4648">
        <w:rPr>
          <w:b/>
          <w:sz w:val="24"/>
        </w:rPr>
        <w:t>Jak hodnotíte celkovou úroveň služeb poskytovaných knihovnou?</w:t>
      </w:r>
    </w:p>
    <w:p w:rsidR="00CC4648" w:rsidRDefault="00CC4648" w:rsidP="00CC4648">
      <w:pPr>
        <w:spacing w:after="0"/>
        <w:rPr>
          <w:b/>
          <w:sz w:val="24"/>
        </w:rPr>
      </w:pPr>
    </w:p>
    <w:p w:rsidR="00CC4648" w:rsidRPr="00CC4648" w:rsidRDefault="00037B5C" w:rsidP="00CC4648">
      <w:pPr>
        <w:spacing w:after="0"/>
        <w:jc w:val="center"/>
        <w:rPr>
          <w:b/>
          <w:sz w:val="24"/>
        </w:rPr>
      </w:pPr>
      <w:r w:rsidRPr="00037B5C">
        <w:rPr>
          <w:b/>
          <w:noProof/>
          <w:sz w:val="24"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4648" w:rsidRDefault="00CC4648" w:rsidP="00CC4648">
      <w:pPr>
        <w:spacing w:after="0"/>
        <w:rPr>
          <w:b/>
          <w:sz w:val="24"/>
        </w:rPr>
      </w:pPr>
    </w:p>
    <w:p w:rsidR="00CC4648" w:rsidRDefault="00CC4648" w:rsidP="00CC4648">
      <w:pPr>
        <w:spacing w:after="0"/>
        <w:rPr>
          <w:sz w:val="24"/>
        </w:rPr>
      </w:pPr>
      <w:r w:rsidRPr="00CC4648">
        <w:rPr>
          <w:b/>
          <w:sz w:val="24"/>
        </w:rPr>
        <w:t>Máte-li jakékoliv připomínky či náměty, které by podle Vás mohly přispět ke zlepšení služeb vaší knihovny, napište je prosím zde:</w:t>
      </w:r>
      <w:r w:rsidR="008B4828">
        <w:rPr>
          <w:b/>
          <w:sz w:val="24"/>
        </w:rPr>
        <w:t xml:space="preserve"> </w:t>
      </w:r>
      <w:r w:rsidR="008B4828" w:rsidRPr="008B4828">
        <w:rPr>
          <w:sz w:val="24"/>
        </w:rPr>
        <w:t>(ponecháno tak, jak bylo napsáno do dotazníku)</w:t>
      </w:r>
    </w:p>
    <w:p w:rsidR="00037B5C" w:rsidRPr="00037B5C" w:rsidRDefault="00037B5C" w:rsidP="00037B5C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0"/>
          <w:lang w:eastAsia="cs-CZ"/>
        </w:rPr>
      </w:pPr>
      <w:r w:rsidRPr="00037B5C">
        <w:rPr>
          <w:rFonts w:eastAsia="Times New Roman" w:cs="Arial"/>
          <w:sz w:val="24"/>
          <w:szCs w:val="20"/>
          <w:lang w:eastAsia="cs-CZ"/>
        </w:rPr>
        <w:t>novinky</w:t>
      </w:r>
    </w:p>
    <w:p w:rsidR="00C31902" w:rsidRDefault="00C31902" w:rsidP="00F444CC">
      <w:pPr>
        <w:pStyle w:val="Odstavecseseznamem"/>
        <w:spacing w:after="0" w:line="240" w:lineRule="auto"/>
        <w:rPr>
          <w:rFonts w:eastAsia="Times New Roman" w:cs="Arial"/>
          <w:sz w:val="24"/>
          <w:szCs w:val="20"/>
          <w:lang w:eastAsia="cs-CZ"/>
        </w:rPr>
      </w:pPr>
    </w:p>
    <w:p w:rsidR="00C31902" w:rsidRPr="009D6EC3" w:rsidRDefault="00C31902" w:rsidP="00F444CC">
      <w:pPr>
        <w:pStyle w:val="Odstavecseseznamem"/>
        <w:spacing w:after="0" w:line="240" w:lineRule="auto"/>
        <w:rPr>
          <w:rFonts w:eastAsia="Times New Roman" w:cs="Arial"/>
          <w:sz w:val="24"/>
          <w:szCs w:val="20"/>
          <w:lang w:eastAsia="cs-CZ"/>
        </w:rPr>
      </w:pPr>
    </w:p>
    <w:p w:rsidR="00CC4648" w:rsidRPr="000B4201" w:rsidRDefault="000B4201" w:rsidP="00F444CC">
      <w:pPr>
        <w:tabs>
          <w:tab w:val="center" w:pos="4536"/>
        </w:tabs>
      </w:pPr>
      <w:r w:rsidRPr="000B4201">
        <w:t xml:space="preserve">Zpracovala: Zuzana Svobodová, </w:t>
      </w:r>
      <w:r w:rsidR="00916139">
        <w:t>20</w:t>
      </w:r>
      <w:r w:rsidRPr="000B4201">
        <w:t>. dubna 2016</w:t>
      </w:r>
      <w:r w:rsidR="00CC4648" w:rsidRPr="000B4201">
        <w:tab/>
      </w:r>
    </w:p>
    <w:sectPr w:rsidR="00CC4648" w:rsidRPr="000B4201" w:rsidSect="00A7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2D" w:rsidRDefault="003D682D" w:rsidP="00CC4648">
      <w:pPr>
        <w:spacing w:after="0" w:line="240" w:lineRule="auto"/>
      </w:pPr>
      <w:r>
        <w:separator/>
      </w:r>
    </w:p>
  </w:endnote>
  <w:endnote w:type="continuationSeparator" w:id="0">
    <w:p w:rsidR="003D682D" w:rsidRDefault="003D682D" w:rsidP="00C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2D" w:rsidRDefault="003D682D" w:rsidP="00CC4648">
      <w:pPr>
        <w:spacing w:after="0" w:line="240" w:lineRule="auto"/>
      </w:pPr>
      <w:r>
        <w:separator/>
      </w:r>
    </w:p>
  </w:footnote>
  <w:footnote w:type="continuationSeparator" w:id="0">
    <w:p w:rsidR="003D682D" w:rsidRDefault="003D682D" w:rsidP="00CC4648">
      <w:pPr>
        <w:spacing w:after="0" w:line="240" w:lineRule="auto"/>
      </w:pPr>
      <w:r>
        <w:continuationSeparator/>
      </w:r>
    </w:p>
  </w:footnote>
  <w:footnote w:id="1">
    <w:p w:rsidR="009E0754" w:rsidRDefault="009E0754">
      <w:pPr>
        <w:pStyle w:val="Textpoznpodarou"/>
      </w:pPr>
      <w:r>
        <w:rPr>
          <w:rStyle w:val="Znakapoznpodarou"/>
        </w:rPr>
        <w:footnoteRef/>
      </w:r>
      <w:r>
        <w:t xml:space="preserve"> Musí být větší než 90 %, pak knihovna standard plní.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A44"/>
    <w:multiLevelType w:val="hybridMultilevel"/>
    <w:tmpl w:val="2E6A2642"/>
    <w:lvl w:ilvl="0" w:tplc="4802F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B44"/>
    <w:multiLevelType w:val="hybridMultilevel"/>
    <w:tmpl w:val="4BE27658"/>
    <w:lvl w:ilvl="0" w:tplc="4802F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8BD"/>
    <w:multiLevelType w:val="hybridMultilevel"/>
    <w:tmpl w:val="6628691A"/>
    <w:lvl w:ilvl="0" w:tplc="4802F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F4C57"/>
    <w:multiLevelType w:val="hybridMultilevel"/>
    <w:tmpl w:val="C240BAE0"/>
    <w:lvl w:ilvl="0" w:tplc="4802F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3D9"/>
    <w:rsid w:val="00037B5C"/>
    <w:rsid w:val="00092827"/>
    <w:rsid w:val="000A74CA"/>
    <w:rsid w:val="000B4201"/>
    <w:rsid w:val="000C7AD5"/>
    <w:rsid w:val="00140561"/>
    <w:rsid w:val="001D3A39"/>
    <w:rsid w:val="002041D3"/>
    <w:rsid w:val="00207223"/>
    <w:rsid w:val="0025160E"/>
    <w:rsid w:val="002A14A8"/>
    <w:rsid w:val="002C0037"/>
    <w:rsid w:val="002C7FB7"/>
    <w:rsid w:val="002D348A"/>
    <w:rsid w:val="002E4922"/>
    <w:rsid w:val="00314F36"/>
    <w:rsid w:val="00355C7F"/>
    <w:rsid w:val="003920AD"/>
    <w:rsid w:val="003C7E4B"/>
    <w:rsid w:val="003D682D"/>
    <w:rsid w:val="00430407"/>
    <w:rsid w:val="00431CBA"/>
    <w:rsid w:val="00434243"/>
    <w:rsid w:val="004678C3"/>
    <w:rsid w:val="004915F9"/>
    <w:rsid w:val="004B2CCF"/>
    <w:rsid w:val="00501088"/>
    <w:rsid w:val="00517AC2"/>
    <w:rsid w:val="00541FBF"/>
    <w:rsid w:val="005510A0"/>
    <w:rsid w:val="00683299"/>
    <w:rsid w:val="006F5D8B"/>
    <w:rsid w:val="00732D27"/>
    <w:rsid w:val="007472EE"/>
    <w:rsid w:val="007748F7"/>
    <w:rsid w:val="00783649"/>
    <w:rsid w:val="0078399B"/>
    <w:rsid w:val="007D4D2F"/>
    <w:rsid w:val="00810D1C"/>
    <w:rsid w:val="00833F40"/>
    <w:rsid w:val="0086244B"/>
    <w:rsid w:val="008668FE"/>
    <w:rsid w:val="008B4828"/>
    <w:rsid w:val="008B665D"/>
    <w:rsid w:val="00916139"/>
    <w:rsid w:val="00926F96"/>
    <w:rsid w:val="00933B5C"/>
    <w:rsid w:val="009A24A4"/>
    <w:rsid w:val="009C00CD"/>
    <w:rsid w:val="009C0252"/>
    <w:rsid w:val="009D6EC3"/>
    <w:rsid w:val="009E0754"/>
    <w:rsid w:val="00A21766"/>
    <w:rsid w:val="00A45721"/>
    <w:rsid w:val="00A61E5B"/>
    <w:rsid w:val="00A6395C"/>
    <w:rsid w:val="00A72EA4"/>
    <w:rsid w:val="00AA4489"/>
    <w:rsid w:val="00AB692F"/>
    <w:rsid w:val="00AC0D3A"/>
    <w:rsid w:val="00B12776"/>
    <w:rsid w:val="00B142EE"/>
    <w:rsid w:val="00B46A6C"/>
    <w:rsid w:val="00B77F48"/>
    <w:rsid w:val="00BD0E14"/>
    <w:rsid w:val="00C24224"/>
    <w:rsid w:val="00C31902"/>
    <w:rsid w:val="00C933D9"/>
    <w:rsid w:val="00CA748F"/>
    <w:rsid w:val="00CC4648"/>
    <w:rsid w:val="00CE72D1"/>
    <w:rsid w:val="00CF6E91"/>
    <w:rsid w:val="00D12F52"/>
    <w:rsid w:val="00D15864"/>
    <w:rsid w:val="00DA0BAC"/>
    <w:rsid w:val="00E07077"/>
    <w:rsid w:val="00E22DA7"/>
    <w:rsid w:val="00E4362A"/>
    <w:rsid w:val="00E85E13"/>
    <w:rsid w:val="00EA2849"/>
    <w:rsid w:val="00F4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E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3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C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4648"/>
  </w:style>
  <w:style w:type="paragraph" w:styleId="Zpat">
    <w:name w:val="footer"/>
    <w:basedOn w:val="Normln"/>
    <w:link w:val="ZpatChar"/>
    <w:uiPriority w:val="99"/>
    <w:semiHidden/>
    <w:unhideWhenUsed/>
    <w:rsid w:val="00CC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464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0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07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07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locha\Dokumenty%20metodika\M&#237;stn&#237;%20a%20m&#283;stsk&#233;%20knihovny\Anal&#253;za%20VKIS\Dotazn&#237;ky%20VKIS%202015\V&#253;sledky\Obce\Lou&#269;k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locha\Dokumenty%20metodika\M&#237;stn&#237;%20a%20m&#283;stsk&#233;%20knihovny\Anal&#253;za%20VKIS\Dotazn&#237;ky%20VKIS%202015\V&#253;sledky\Obce\Lou&#269;k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locha\Dokumenty%20metodika\M&#237;stn&#237;%20a%20m&#283;stsk&#233;%20knihovny\Anal&#253;za%20VKIS\Dotazn&#237;ky%20VKIS%202015\V&#253;sledky\Obce\Lou&#269;k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locha\Dokumenty%20metodika\M&#237;stn&#237;%20a%20m&#283;stsk&#233;%20knihovny\Anal&#253;za%20VKIS\Dotazn&#237;ky%20VKIS%202015\V&#253;sledky\Obce\Lou&#269;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pivotSource>
    <c:name>[Loučka.xlsx]Otevírací doba knihovny - graf!Kontingenční tabulka 2</c:name>
    <c:fmtId val="39"/>
  </c:pivotSource>
  <c:chart>
    <c:title>
      <c:tx>
        <c:rich>
          <a:bodyPr/>
          <a:lstStyle/>
          <a:p>
            <a:pPr>
              <a:defRPr/>
            </a:pPr>
            <a:r>
              <a:rPr lang="cs-CZ"/>
              <a:t>Otvírací doba</a:t>
            </a:r>
          </a:p>
        </c:rich>
      </c:tx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CatName val="1"/>
          <c:showPercent val="1"/>
        </c:dLbl>
      </c:pivotFmt>
      <c:pivotFmt>
        <c:idx val="1"/>
        <c:dLbl>
          <c:idx val="0"/>
          <c:layout>
            <c:manualLayout>
              <c:x val="7.1442257217847832E-2"/>
              <c:y val="-5.828703703703713E-2"/>
            </c:manualLayout>
          </c:layout>
          <c:showCatName val="1"/>
          <c:showPercent val="1"/>
        </c:dLbl>
      </c:pivotFmt>
      <c:pivotFmt>
        <c:idx val="2"/>
        <c:dLbl>
          <c:idx val="0"/>
          <c:layout>
            <c:manualLayout>
              <c:x val="-0.12816251093613287"/>
              <c:y val="5.2921770195392286E-2"/>
            </c:manualLayout>
          </c:layout>
          <c:showCatName val="1"/>
          <c:showPercent val="1"/>
        </c:dLbl>
      </c:pivotFmt>
      <c:pivotFmt>
        <c:idx val="3"/>
        <c:dLbl>
          <c:idx val="0"/>
          <c:layout>
            <c:manualLayout>
              <c:x val="-0.1982272528433954"/>
              <c:y val="1.2185768445610987E-2"/>
            </c:manualLayout>
          </c:layout>
          <c:showCatName val="1"/>
          <c:showPercent val="1"/>
        </c:dLbl>
      </c:pivotFmt>
      <c:pivotFmt>
        <c:idx val="4"/>
        <c:dLbl>
          <c:idx val="0"/>
          <c:layout>
            <c:manualLayout>
              <c:x val="-3.6948162729658812E-2"/>
              <c:y val="4.6392534266550038E-2"/>
            </c:manualLayout>
          </c:layout>
          <c:showCatName val="1"/>
          <c:showPercent val="1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CatName val="1"/>
          <c:showPercent val="1"/>
        </c:dLbl>
      </c:pivotFmt>
      <c:pivotFmt>
        <c:idx val="6"/>
        <c:dLbl>
          <c:idx val="0"/>
          <c:layout>
            <c:manualLayout>
              <c:x val="7.1442257217847832E-2"/>
              <c:y val="-5.828703703703713E-2"/>
            </c:manualLayout>
          </c:layout>
          <c:showCatName val="1"/>
          <c:showPercent val="1"/>
        </c:dLbl>
      </c:pivotFmt>
      <c:pivotFmt>
        <c:idx val="7"/>
        <c:dLbl>
          <c:idx val="0"/>
          <c:layout>
            <c:manualLayout>
              <c:x val="-3.6948162729658812E-2"/>
              <c:y val="4.6392534266550038E-2"/>
            </c:manualLayout>
          </c:layout>
          <c:showCatName val="1"/>
          <c:showPercent val="1"/>
        </c:dLbl>
      </c:pivotFmt>
    </c:pivotFmts>
    <c:plotArea>
      <c:layout/>
      <c:pieChart>
        <c:varyColors val="1"/>
        <c:ser>
          <c:idx val="0"/>
          <c:order val="0"/>
          <c:tx>
            <c:strRef>
              <c:f>'Otevírací doba knihovny - graf'!$B$2</c:f>
              <c:strCache>
                <c:ptCount val="1"/>
                <c:pt idx="0">
                  <c:v>Celkem</c:v>
                </c:pt>
              </c:strCache>
            </c:strRef>
          </c:tx>
          <c:dLbls>
            <c:dLbl>
              <c:idx val="0"/>
              <c:layout>
                <c:manualLayout>
                  <c:x val="7.1442257217847832E-2"/>
                  <c:y val="-5.82870370370371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3.6948162729658812E-2"/>
                  <c:y val="4.639253426655003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/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'Otevírací doba knihovny - graf'!$A$3:$A$5</c:f>
              <c:strCache>
                <c:ptCount val="2"/>
                <c:pt idx="0">
                  <c:v>vyhovuje</c:v>
                </c:pt>
                <c:pt idx="1">
                  <c:v>ani vyhovuje, ani nevyhovuje</c:v>
                </c:pt>
              </c:strCache>
            </c:strRef>
          </c:cat>
          <c:val>
            <c:numRef>
              <c:f>'Otevírací doba knihovny - graf'!$B$3:$B$5</c:f>
              <c:numCache>
                <c:formatCode>General</c:formatCode>
                <c:ptCount val="2"/>
                <c:pt idx="0">
                  <c:v>21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pivotSource>
    <c:name>[Loučka.xlsx]Knihovní fond - graf!Kontingenční tabulka 2</c:name>
    <c:fmtId val="50"/>
  </c:pivotSource>
  <c:chart>
    <c:title>
      <c:tx>
        <c:rich>
          <a:bodyPr/>
          <a:lstStyle/>
          <a:p>
            <a:pPr>
              <a:defRPr/>
            </a:pPr>
            <a:r>
              <a:rPr lang="cs-CZ"/>
              <a:t>Knihovní</a:t>
            </a:r>
            <a:r>
              <a:rPr lang="cs-CZ" baseline="0"/>
              <a:t> fond</a:t>
            </a:r>
            <a:endParaRPr lang="en-US"/>
          </a:p>
        </c:rich>
      </c:tx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CatName val="1"/>
          <c:showPercent val="1"/>
        </c:dLbl>
      </c:pivotFmt>
      <c:pivotFmt>
        <c:idx val="1"/>
        <c:dLbl>
          <c:idx val="0"/>
          <c:layout>
            <c:manualLayout>
              <c:x val="-0.16326181102362206"/>
              <c:y val="0"/>
            </c:manualLayout>
          </c:layout>
          <c:showCatName val="1"/>
          <c:showPercent val="1"/>
        </c:dLbl>
      </c:pivotFmt>
      <c:pivotFmt>
        <c:idx val="2"/>
        <c:dLbl>
          <c:idx val="0"/>
          <c:layout>
            <c:manualLayout>
              <c:x val="8.1711909299008872E-2"/>
              <c:y val="3.2092082239720036E-2"/>
            </c:manualLayout>
          </c:layout>
          <c:showCatName val="1"/>
          <c:showPercent val="1"/>
        </c:dLbl>
      </c:pivotFmt>
      <c:pivotFmt>
        <c:idx val="3"/>
      </c:pivotFmt>
      <c:pivotFmt>
        <c:idx val="4"/>
        <c:dLbl>
          <c:idx val="0"/>
          <c:layout>
            <c:manualLayout>
              <c:x val="-0.1261644593276415"/>
              <c:y val="0.16081875182268884"/>
            </c:manualLayout>
          </c:layout>
          <c:showCatName val="1"/>
          <c:showPercent val="1"/>
        </c:dLbl>
      </c:pivotFmt>
      <c:pivotFmt>
        <c:idx val="5"/>
        <c:dLbl>
          <c:idx val="0"/>
          <c:layout>
            <c:manualLayout>
              <c:x val="-5.3942257217847803E-2"/>
              <c:y val="1.7300233304170312E-2"/>
            </c:manualLayout>
          </c:layout>
          <c:showCatName val="1"/>
          <c:showPercent val="1"/>
        </c:dLbl>
      </c:pivotFmt>
      <c:pivotFmt>
        <c:idx val="6"/>
        <c:dLbl>
          <c:idx val="0"/>
          <c:layout>
            <c:manualLayout>
              <c:x val="0.26919077644030126"/>
              <c:y val="7.2370953630796181E-2"/>
            </c:manualLayout>
          </c:layout>
          <c:showCatName val="1"/>
          <c:showPercent val="1"/>
        </c:dLbl>
      </c:pivotFmt>
      <c:pivotFmt>
        <c:idx val="7"/>
        <c:dLbl>
          <c:idx val="0"/>
          <c:layout>
            <c:manualLayout>
              <c:x val="-0.13961484699470036"/>
              <c:y val="7.3543307086614176E-2"/>
            </c:manualLayout>
          </c:layout>
          <c:showCatName val="1"/>
          <c:showPercent val="1"/>
        </c:dLbl>
      </c:pivotFmt>
      <c:pivotFmt>
        <c:idx val="8"/>
        <c:dLbl>
          <c:idx val="0"/>
          <c:layout>
            <c:manualLayout>
              <c:x val="1.4563210848643919E-2"/>
              <c:y val="1.2454432779235924E-2"/>
            </c:manualLayout>
          </c:layout>
          <c:showCatName val="1"/>
          <c:showPercent val="1"/>
        </c:dLbl>
      </c:pivotFmt>
      <c:pivotFmt>
        <c:idx val="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CatName val="1"/>
          <c:showPercent val="1"/>
        </c:dLbl>
      </c:pivotFmt>
      <c:pivotFmt>
        <c:idx val="10"/>
        <c:dLbl>
          <c:idx val="0"/>
          <c:layout>
            <c:manualLayout>
              <c:x val="8.1711909299008872E-2"/>
              <c:y val="3.2092082239720036E-2"/>
            </c:manualLayout>
          </c:layout>
          <c:showCatName val="1"/>
          <c:showPercent val="1"/>
        </c:dLbl>
      </c:pivotFmt>
      <c:pivotFmt>
        <c:idx val="11"/>
        <c:dLbl>
          <c:idx val="0"/>
          <c:layout>
            <c:manualLayout>
              <c:x val="-0.16326181102362206"/>
              <c:y val="0"/>
            </c:manualLayout>
          </c:layout>
          <c:showCatName val="1"/>
          <c:showPercent val="1"/>
        </c:dLbl>
      </c:pivotFmt>
    </c:pivotFmts>
    <c:plotArea>
      <c:layout/>
      <c:pieChart>
        <c:varyColors val="1"/>
        <c:ser>
          <c:idx val="0"/>
          <c:order val="0"/>
          <c:tx>
            <c:strRef>
              <c:f>'Knihovní fond - graf'!$B$3</c:f>
              <c:strCache>
                <c:ptCount val="1"/>
                <c:pt idx="0">
                  <c:v>Celkem</c:v>
                </c:pt>
              </c:strCache>
            </c:strRef>
          </c:tx>
          <c:dLbls>
            <c:dLbl>
              <c:idx val="0"/>
              <c:layout>
                <c:manualLayout>
                  <c:x val="8.1711909299008872E-2"/>
                  <c:y val="3.209208223972003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6326181102362206"/>
                  <c:y val="0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/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'Knihovní fond - graf'!$A$4:$A$6</c:f>
              <c:strCache>
                <c:ptCount val="2"/>
                <c:pt idx="0">
                  <c:v>ano</c:v>
                </c:pt>
                <c:pt idx="1">
                  <c:v>někdy ano, někdy ne</c:v>
                </c:pt>
              </c:strCache>
            </c:strRef>
          </c:cat>
          <c:val>
            <c:numRef>
              <c:f>'Knihovní fond - graf'!$B$4:$B$6</c:f>
              <c:numCache>
                <c:formatCode>General</c:formatCode>
                <c:ptCount val="2"/>
                <c:pt idx="0">
                  <c:v>19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pivotSource>
    <c:name>[Loučka.xlsx]Internetové stránky - graf!Kontingenční tabulka 3</c:name>
    <c:fmtId val="45"/>
  </c:pivotSource>
  <c:chart>
    <c:title>
      <c:tx>
        <c:rich>
          <a:bodyPr/>
          <a:lstStyle/>
          <a:p>
            <a:pPr>
              <a:defRPr/>
            </a:pPr>
            <a:r>
              <a:rPr lang="cs-CZ"/>
              <a:t>Internetové stránky</a:t>
            </a:r>
            <a:endParaRPr lang="en-US"/>
          </a:p>
        </c:rich>
      </c:tx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CatName val="1"/>
          <c:showPercent val="1"/>
        </c:dLbl>
      </c:pivotFmt>
      <c:pivotFmt>
        <c:idx val="1"/>
        <c:dLbl>
          <c:idx val="0"/>
          <c:layout>
            <c:manualLayout>
              <c:x val="-4.7412073490813972E-2"/>
              <c:y val="5.2240449110527852E-2"/>
            </c:manualLayout>
          </c:layout>
          <c:showCatName val="1"/>
          <c:showPercent val="1"/>
        </c:dLbl>
      </c:pivotFmt>
      <c:pivotFmt>
        <c:idx val="2"/>
        <c:dLbl>
          <c:idx val="0"/>
          <c:layout>
            <c:manualLayout>
              <c:x val="4.7239282589676294E-2"/>
              <c:y val="4.3397856517935304E-2"/>
            </c:manualLayout>
          </c:layout>
          <c:showCatName val="1"/>
          <c:showPercent val="1"/>
        </c:dLbl>
      </c:pivotFmt>
      <c:pivotFmt>
        <c:idx val="3"/>
        <c:dLbl>
          <c:idx val="0"/>
          <c:layout>
            <c:manualLayout>
              <c:x val="3.9600393700787405E-2"/>
              <c:y val="2.8061023622047265E-2"/>
            </c:manualLayout>
          </c:layout>
          <c:showCatName val="1"/>
          <c:showPercent val="1"/>
        </c:dLbl>
      </c:pivotFmt>
      <c:pivotFmt>
        <c:idx val="4"/>
        <c:dLbl>
          <c:idx val="0"/>
          <c:layout>
            <c:manualLayout>
              <c:x val="0.13419903762029797"/>
              <c:y val="-4.6296296296296511E-3"/>
            </c:manualLayout>
          </c:layout>
          <c:showCatName val="1"/>
          <c:showPercent val="1"/>
        </c:dLbl>
      </c:pivotFmt>
      <c:pivotFmt>
        <c:idx val="5"/>
        <c:dLbl>
          <c:idx val="0"/>
          <c:layout>
            <c:manualLayout>
              <c:x val="1.7063210848643918E-2"/>
              <c:y val="5.657990667833188E-3"/>
            </c:manualLayout>
          </c:layout>
          <c:showCatName val="1"/>
          <c:showPercent val="1"/>
        </c:dLbl>
      </c:pivotFmt>
      <c:pivotFmt>
        <c:idx val="6"/>
        <c:dLbl>
          <c:idx val="0"/>
          <c:layout>
            <c:manualLayout>
              <c:x val="7.208442694663194E-3"/>
              <c:y val="-2.1507728200641596E-4"/>
            </c:manualLayout>
          </c:layout>
          <c:showCatName val="1"/>
          <c:showPercent val="1"/>
        </c:dLbl>
      </c:pivotFmt>
      <c:pivotFmt>
        <c:idx val="7"/>
        <c:dLbl>
          <c:idx val="0"/>
          <c:layout>
            <c:manualLayout>
              <c:x val="-6.8770122484689417E-2"/>
              <c:y val="0.10041739574219861"/>
            </c:manualLayout>
          </c:layout>
          <c:showCatName val="1"/>
          <c:showPercent val="1"/>
        </c:dLbl>
      </c:pivotFmt>
      <c:pivotFmt>
        <c:idx val="8"/>
        <c:dLbl>
          <c:idx val="0"/>
          <c:layout>
            <c:manualLayout>
              <c:x val="-1.8770122484689421E-2"/>
              <c:y val="5.4121099445902598E-2"/>
            </c:manualLayout>
          </c:layout>
          <c:showCatName val="1"/>
          <c:showPercent val="1"/>
        </c:dLbl>
      </c:pivotFmt>
      <c:pivotFmt>
        <c:idx val="9"/>
        <c:dLbl>
          <c:idx val="0"/>
          <c:layout>
            <c:manualLayout>
              <c:x val="3.4520997375328123E-3"/>
              <c:y val="-1.4344561096529625E-3"/>
            </c:manualLayout>
          </c:layout>
          <c:showCatName val="1"/>
          <c:showPercent val="1"/>
        </c:dLbl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CatName val="1"/>
          <c:showPercent val="1"/>
        </c:dLbl>
      </c:pivotFmt>
      <c:pivotFmt>
        <c:idx val="11"/>
        <c:dLbl>
          <c:idx val="0"/>
          <c:layout>
            <c:manualLayout>
              <c:x val="3.9600393700787405E-2"/>
              <c:y val="2.8061023622047265E-2"/>
            </c:manualLayout>
          </c:layout>
          <c:showCatName val="1"/>
          <c:showPercent val="1"/>
        </c:dLbl>
      </c:pivotFmt>
      <c:pivotFmt>
        <c:idx val="12"/>
        <c:dLbl>
          <c:idx val="0"/>
          <c:layout>
            <c:manualLayout>
              <c:x val="7.208442694663194E-3"/>
              <c:y val="-2.1507728200641596E-4"/>
            </c:manualLayout>
          </c:layout>
          <c:showCatName val="1"/>
          <c:showPercent val="1"/>
        </c:dLbl>
      </c:pivotFmt>
      <c:pivotFmt>
        <c:idx val="13"/>
        <c:dLbl>
          <c:idx val="0"/>
          <c:layout>
            <c:manualLayout>
              <c:x val="-1.8770122484689421E-2"/>
              <c:y val="5.4121099445902598E-2"/>
            </c:manualLayout>
          </c:layout>
          <c:showCatName val="1"/>
          <c:showPercent val="1"/>
        </c:dLbl>
      </c:pivotFmt>
    </c:pivotFmts>
    <c:plotArea>
      <c:layout/>
      <c:pieChart>
        <c:varyColors val="1"/>
        <c:ser>
          <c:idx val="0"/>
          <c:order val="0"/>
          <c:tx>
            <c:strRef>
              <c:f>'Internetové stránky - graf'!$B$3</c:f>
              <c:strCache>
                <c:ptCount val="1"/>
                <c:pt idx="0">
                  <c:v>Celkem</c:v>
                </c:pt>
              </c:strCache>
            </c:strRef>
          </c:tx>
          <c:dLbls>
            <c:dLbl>
              <c:idx val="0"/>
              <c:layout>
                <c:manualLayout>
                  <c:x val="3.9600393700787405E-2"/>
                  <c:y val="2.806102362204726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208442694663194E-3"/>
                  <c:y val="-2.1507728200641596E-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8770122484689421E-2"/>
                  <c:y val="5.412109944590259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/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'Internetové stránky - graf'!$A$4:$A$7</c:f>
              <c:strCache>
                <c:ptCount val="3"/>
                <c:pt idx="0">
                  <c:v>ano</c:v>
                </c:pt>
                <c:pt idx="1">
                  <c:v>nevím, nemohu odpovědět</c:v>
                </c:pt>
                <c:pt idx="2">
                  <c:v>někdy ano, někdy ne</c:v>
                </c:pt>
              </c:strCache>
            </c:strRef>
          </c:cat>
          <c:val>
            <c:numRef>
              <c:f>'Internetové stránky - graf'!$B$4:$B$7</c:f>
              <c:numCache>
                <c:formatCode>General</c:formatCode>
                <c:ptCount val="3"/>
                <c:pt idx="0">
                  <c:v>17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pivotSource>
    <c:name>[Loučka.xlsx]Spokojenost - graf!Kontingenční tabulka 4</c:name>
    <c:fmtId val="45"/>
  </c:pivotSource>
  <c:chart>
    <c:title>
      <c:tx>
        <c:rich>
          <a:bodyPr/>
          <a:lstStyle/>
          <a:p>
            <a:pPr>
              <a:defRPr/>
            </a:pPr>
            <a:r>
              <a:rPr lang="cs-CZ"/>
              <a:t>Celková spokojenost</a:t>
            </a:r>
          </a:p>
        </c:rich>
      </c:tx>
      <c:layout>
        <c:manualLayout>
          <c:xMode val="edge"/>
          <c:yMode val="edge"/>
          <c:x val="0.28265266841644798"/>
          <c:y val="2.7777777777778012E-2"/>
        </c:manualLayout>
      </c:layout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CatName val="1"/>
          <c:showPercent val="1"/>
        </c:dLbl>
      </c:pivotFmt>
      <c:pivotFmt>
        <c:idx val="1"/>
        <c:dLbl>
          <c:idx val="0"/>
          <c:layout>
            <c:manualLayout>
              <c:x val="0.12034514435695583"/>
              <c:y val="-0.17778288130650341"/>
            </c:manualLayout>
          </c:layout>
          <c:showCatName val="1"/>
          <c:showPercent val="1"/>
        </c:dLbl>
      </c:pivotFmt>
      <c:pivotFmt>
        <c:idx val="2"/>
        <c:dLbl>
          <c:idx val="0"/>
          <c:layout>
            <c:manualLayout>
              <c:x val="1.2535870516185604E-2"/>
              <c:y val="3.1733741615631444E-2"/>
            </c:manualLayout>
          </c:layout>
          <c:showCatName val="1"/>
          <c:showPercent val="1"/>
        </c:dLbl>
      </c:pivotFmt>
      <c:pivotFmt>
        <c:idx val="3"/>
        <c:dLbl>
          <c:idx val="0"/>
          <c:layout>
            <c:manualLayout>
              <c:x val="-6.4298665791776025E-2"/>
              <c:y val="9.3981846019247708E-2"/>
            </c:manualLayout>
          </c:layout>
          <c:showCatName val="1"/>
          <c:showPercent val="1"/>
        </c:dLbl>
      </c:pivotFmt>
      <c:pivotFmt>
        <c:idx val="4"/>
        <c:dLbl>
          <c:idx val="0"/>
          <c:layout>
            <c:manualLayout>
              <c:x val="0.2774553805774278"/>
              <c:y val="2.0501968503937016E-2"/>
            </c:manualLayout>
          </c:layout>
          <c:showCatName val="1"/>
          <c:showPercent val="1"/>
        </c:dLbl>
      </c:pivotFmt>
      <c:pivotFmt>
        <c:idx val="5"/>
        <c:dLbl>
          <c:idx val="0"/>
          <c:layout>
            <c:manualLayout>
              <c:x val="2.1494094488189074E-2"/>
              <c:y val="2.5813648293963307E-2"/>
            </c:manualLayout>
          </c:layout>
          <c:showCatName val="1"/>
          <c:showPercent val="1"/>
        </c:dLbl>
      </c:pivotFmt>
      <c:pivotFmt>
        <c:idx val="6"/>
        <c:dLbl>
          <c:idx val="0"/>
          <c:layout>
            <c:manualLayout>
              <c:x val="-0.12739938757655331"/>
              <c:y val="1.4723680373286675E-2"/>
            </c:manualLayout>
          </c:layout>
          <c:showCatName val="1"/>
          <c:showPercent val="1"/>
        </c:dLbl>
      </c:pivotFmt>
      <c:pivotFmt>
        <c:idx val="7"/>
        <c:dLbl>
          <c:idx val="0"/>
          <c:layout>
            <c:manualLayout>
              <c:x val="-6.8867016622922205E-3"/>
              <c:y val="3.6068824730242047E-2"/>
            </c:manualLayout>
          </c:layout>
          <c:showCatName val="1"/>
          <c:showPercent val="1"/>
        </c:dLbl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showCatName val="1"/>
          <c:showPercent val="1"/>
        </c:dLbl>
      </c:pivotFmt>
      <c:pivotFmt>
        <c:idx val="9"/>
        <c:dLbl>
          <c:idx val="0"/>
          <c:layout>
            <c:manualLayout>
              <c:x val="1.2535870516185604E-2"/>
              <c:y val="3.1733741615631444E-2"/>
            </c:manualLayout>
          </c:layout>
          <c:showCatName val="1"/>
          <c:showPercent val="1"/>
        </c:dLbl>
      </c:pivotFmt>
      <c:pivotFmt>
        <c:idx val="10"/>
        <c:dLbl>
          <c:idx val="0"/>
          <c:layout>
            <c:manualLayout>
              <c:x val="-6.8867016622922205E-3"/>
              <c:y val="3.6068824730242047E-2"/>
            </c:manualLayout>
          </c:layout>
          <c:showCatName val="1"/>
          <c:showPercent val="1"/>
        </c:dLbl>
      </c:pivotFmt>
    </c:pivotFmts>
    <c:plotArea>
      <c:layout/>
      <c:pieChart>
        <c:varyColors val="1"/>
        <c:ser>
          <c:idx val="0"/>
          <c:order val="0"/>
          <c:tx>
            <c:strRef>
              <c:f>'Spokojenost - graf'!$B$3</c:f>
              <c:strCache>
                <c:ptCount val="1"/>
                <c:pt idx="0">
                  <c:v>Celkem</c:v>
                </c:pt>
              </c:strCache>
            </c:strRef>
          </c:tx>
          <c:dLbls>
            <c:dLbl>
              <c:idx val="0"/>
              <c:layout>
                <c:manualLayout>
                  <c:x val="1.2535870516185604E-2"/>
                  <c:y val="3.173374161563144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6.8867016622922205E-3"/>
                  <c:y val="3.6068824730242047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/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'Spokojenost - graf'!$A$4:$A$6</c:f>
              <c:strCache>
                <c:ptCount val="2"/>
                <c:pt idx="0">
                  <c:v>2 - velmi dobrá</c:v>
                </c:pt>
                <c:pt idx="1">
                  <c:v>1 - výborná</c:v>
                </c:pt>
              </c:strCache>
            </c:strRef>
          </c:cat>
          <c:val>
            <c:numRef>
              <c:f>'Spokojenost - graf'!$B$4:$B$6</c:f>
              <c:numCache>
                <c:formatCode>General</c:formatCode>
                <c:ptCount val="2"/>
                <c:pt idx="0">
                  <c:v>6</c:v>
                </c:pt>
                <c:pt idx="1">
                  <c:v>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083EC-0393-48F9-BFCA-E82F73B2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KKFB, po.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Účetní</cp:lastModifiedBy>
  <cp:revision>2</cp:revision>
  <dcterms:created xsi:type="dcterms:W3CDTF">2016-04-22T05:46:00Z</dcterms:created>
  <dcterms:modified xsi:type="dcterms:W3CDTF">2016-04-22T05:46:00Z</dcterms:modified>
</cp:coreProperties>
</file>